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9A" w:rsidRDefault="00A5239A" w:rsidP="00A5239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1995948" cy="1066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Color_OCUSA_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4" b="12525"/>
                    <a:stretch/>
                  </pic:blipFill>
                  <pic:spPr bwMode="auto">
                    <a:xfrm>
                      <a:off x="0" y="0"/>
                      <a:ext cx="1998985" cy="106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39A" w:rsidRPr="00A5239A" w:rsidRDefault="00A5239A" w:rsidP="00A5239A">
      <w:pPr>
        <w:jc w:val="center"/>
        <w:rPr>
          <w:rFonts w:asciiTheme="majorHAnsi" w:hAnsiTheme="majorHAnsi"/>
          <w:b/>
          <w:sz w:val="20"/>
        </w:rPr>
      </w:pPr>
    </w:p>
    <w:p w:rsidR="00A5239A" w:rsidRPr="00A5239A" w:rsidRDefault="000B519A" w:rsidP="00A5239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>Medical</w:t>
      </w:r>
      <w:r w:rsidR="00A5239A" w:rsidRPr="00A5239A">
        <w:rPr>
          <w:rFonts w:asciiTheme="majorHAnsi" w:hAnsiTheme="majorHAnsi"/>
          <w:b/>
          <w:sz w:val="28"/>
        </w:rPr>
        <w:t xml:space="preserve"> Plan</w:t>
      </w:r>
    </w:p>
    <w:p w:rsidR="00A5239A" w:rsidRDefault="00A5239A" w:rsidP="00A5239A">
      <w:pPr>
        <w:rPr>
          <w:rFonts w:asciiTheme="majorHAnsi" w:hAnsiTheme="majorHAnsi"/>
        </w:rPr>
      </w:pPr>
    </w:p>
    <w:p w:rsidR="000B519A" w:rsidRDefault="000B519A" w:rsidP="000B519A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All events are required to submit a medical plan</w:t>
      </w:r>
      <w:r w:rsidRPr="00515832">
        <w:rPr>
          <w:rFonts w:asciiTheme="majorHAnsi" w:hAnsiTheme="majorHAnsi"/>
        </w:rPr>
        <w:t>. The plan should include the event’s medical communication plan, number of, certification levels and types of resources that will be at the event, description of how resource</w:t>
      </w:r>
      <w:r w:rsidR="00B75753">
        <w:rPr>
          <w:rFonts w:asciiTheme="majorHAnsi" w:hAnsiTheme="majorHAnsi"/>
        </w:rPr>
        <w:t xml:space="preserve">s will be </w:t>
      </w:r>
      <w:r w:rsidR="00BB1327">
        <w:rPr>
          <w:rFonts w:asciiTheme="majorHAnsi" w:hAnsiTheme="majorHAnsi"/>
        </w:rPr>
        <w:t xml:space="preserve">managed, </w:t>
      </w:r>
      <w:r w:rsidR="00B75753">
        <w:rPr>
          <w:rFonts w:asciiTheme="majorHAnsi" w:hAnsiTheme="majorHAnsi"/>
        </w:rPr>
        <w:t>and location</w:t>
      </w:r>
      <w:r w:rsidRPr="00515832">
        <w:rPr>
          <w:rFonts w:asciiTheme="majorHAnsi" w:hAnsiTheme="majorHAnsi"/>
        </w:rPr>
        <w:t xml:space="preserve"> </w:t>
      </w:r>
      <w:r w:rsidR="00BB1327">
        <w:rPr>
          <w:rFonts w:asciiTheme="majorHAnsi" w:hAnsiTheme="majorHAnsi"/>
        </w:rPr>
        <w:t xml:space="preserve">of </w:t>
      </w:r>
      <w:r w:rsidRPr="00515832">
        <w:rPr>
          <w:rFonts w:asciiTheme="majorHAnsi" w:hAnsiTheme="majorHAnsi"/>
        </w:rPr>
        <w:t xml:space="preserve">medical aid stations. </w:t>
      </w:r>
    </w:p>
    <w:p w:rsidR="000B519A" w:rsidRDefault="000B519A" w:rsidP="000B519A">
      <w:pPr>
        <w:contextualSpacing/>
        <w:rPr>
          <w:rFonts w:asciiTheme="majorHAnsi" w:hAnsiTheme="majorHAnsi"/>
        </w:rPr>
      </w:pPr>
    </w:p>
    <w:p w:rsidR="000B519A" w:rsidRDefault="000B519A" w:rsidP="000B519A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Medical Service Matrix identifies the</w:t>
      </w:r>
      <w:r w:rsidRPr="00CA424E">
        <w:rPr>
          <w:rFonts w:asciiTheme="majorHAnsi" w:hAnsiTheme="majorHAnsi"/>
        </w:rPr>
        <w:t xml:space="preserve"> </w:t>
      </w:r>
      <w:r w:rsidRPr="00CA424E">
        <w:rPr>
          <w:rFonts w:asciiTheme="majorHAnsi" w:hAnsiTheme="majorHAnsi"/>
          <w:b/>
        </w:rPr>
        <w:t>minimum requirements</w:t>
      </w:r>
      <w:r w:rsidRPr="00CA424E">
        <w:rPr>
          <w:rFonts w:asciiTheme="majorHAnsi" w:hAnsiTheme="majorHAnsi"/>
        </w:rPr>
        <w:t xml:space="preserve"> for special events in the City of Colorado Springs. The Colorado Springs Fire Chief or his/her designee has fina</w:t>
      </w:r>
      <w:r>
        <w:rPr>
          <w:rFonts w:asciiTheme="majorHAnsi" w:hAnsiTheme="majorHAnsi"/>
        </w:rPr>
        <w:t>l authority to determine event me</w:t>
      </w:r>
      <w:r w:rsidRPr="00CA424E">
        <w:rPr>
          <w:rFonts w:asciiTheme="majorHAnsi" w:hAnsiTheme="majorHAnsi"/>
        </w:rPr>
        <w:t xml:space="preserve">dical service requirements. </w:t>
      </w:r>
      <w:r>
        <w:rPr>
          <w:rFonts w:asciiTheme="majorHAnsi" w:hAnsiTheme="majorHAnsi"/>
        </w:rPr>
        <w:t>Other factors which may impact m</w:t>
      </w:r>
      <w:r w:rsidRPr="00CA424E">
        <w:rPr>
          <w:rFonts w:asciiTheme="majorHAnsi" w:hAnsiTheme="majorHAnsi"/>
        </w:rPr>
        <w:t>edi</w:t>
      </w:r>
      <w:r>
        <w:rPr>
          <w:rFonts w:asciiTheme="majorHAnsi" w:hAnsiTheme="majorHAnsi"/>
        </w:rPr>
        <w:t>cal service r</w:t>
      </w:r>
      <w:r w:rsidRPr="00CA424E">
        <w:rPr>
          <w:rFonts w:asciiTheme="majorHAnsi" w:hAnsiTheme="majorHAnsi"/>
        </w:rPr>
        <w:t>equirements include</w:t>
      </w:r>
      <w:r>
        <w:rPr>
          <w:rFonts w:asciiTheme="majorHAnsi" w:hAnsiTheme="majorHAnsi"/>
        </w:rPr>
        <w:t>, but are not limited to,</w:t>
      </w:r>
      <w:r w:rsidR="00BB1327">
        <w:rPr>
          <w:rFonts w:asciiTheme="majorHAnsi" w:hAnsiTheme="majorHAnsi"/>
        </w:rPr>
        <w:t xml:space="preserve"> alcohol sale or consumption</w:t>
      </w:r>
      <w:r w:rsidRPr="00CA424E">
        <w:rPr>
          <w:rFonts w:asciiTheme="majorHAnsi" w:hAnsiTheme="majorHAnsi"/>
        </w:rPr>
        <w:t>, type of event</w:t>
      </w:r>
      <w:r>
        <w:rPr>
          <w:rFonts w:asciiTheme="majorHAnsi" w:hAnsiTheme="majorHAnsi"/>
        </w:rPr>
        <w:t>/event activities, potential for hot or cold weather issues, and CSPD threat analysis.</w:t>
      </w:r>
    </w:p>
    <w:p w:rsidR="000B519A" w:rsidRPr="00CA424E" w:rsidRDefault="000B519A" w:rsidP="000B519A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205"/>
        <w:gridCol w:w="1170"/>
        <w:gridCol w:w="1980"/>
        <w:gridCol w:w="1890"/>
        <w:gridCol w:w="1800"/>
      </w:tblGrid>
      <w:tr w:rsidR="000B519A" w:rsidRPr="00CA424E" w:rsidTr="00F875F1">
        <w:tc>
          <w:tcPr>
            <w:tcW w:w="1863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A424E">
              <w:rPr>
                <w:rFonts w:asciiTheme="majorHAnsi" w:hAnsiTheme="majorHAnsi"/>
                <w:b/>
              </w:rPr>
              <w:t>EVENT TYPE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PEAK</w:t>
            </w:r>
            <w:r w:rsidRPr="00CA424E">
              <w:rPr>
                <w:rFonts w:asciiTheme="majorHAnsi" w:hAnsiTheme="majorHAnsi"/>
                <w:b/>
              </w:rPr>
              <w:t xml:space="preserve"> ATTENDANCE</w:t>
            </w:r>
            <w:r>
              <w:rPr>
                <w:rFonts w:asciiTheme="majorHAnsi" w:hAnsiTheme="majorHAnsi"/>
                <w:b/>
              </w:rPr>
              <w:br/>
              <w:t>(at any given time)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A424E">
              <w:rPr>
                <w:rFonts w:asciiTheme="majorHAnsi" w:hAnsiTheme="majorHAnsi"/>
                <w:b/>
              </w:rPr>
              <w:t>FIRST AID STATION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A424E">
              <w:rPr>
                <w:rFonts w:asciiTheme="majorHAnsi" w:hAnsiTheme="majorHAnsi"/>
                <w:b/>
              </w:rPr>
              <w:t>CERTIFIED BLS PROVIDERS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A424E">
              <w:rPr>
                <w:rFonts w:asciiTheme="majorHAnsi" w:hAnsiTheme="majorHAnsi"/>
                <w:b/>
              </w:rPr>
              <w:t>LICENSED AMBULANCE PROVIDER</w:t>
            </w:r>
            <w:r>
              <w:rPr>
                <w:rFonts w:asciiTheme="majorHAnsi" w:hAnsiTheme="majorHAnsi"/>
                <w:b/>
              </w:rPr>
              <w:t xml:space="preserve"> ON STANDBY*</w:t>
            </w:r>
            <w:r w:rsidR="00B75753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A424E">
              <w:rPr>
                <w:rFonts w:asciiTheme="majorHAnsi" w:hAnsiTheme="majorHAnsi"/>
                <w:b/>
              </w:rPr>
              <w:t>CSFD SPECIAL EVENTS</w:t>
            </w:r>
            <w:r>
              <w:rPr>
                <w:rFonts w:asciiTheme="majorHAnsi" w:hAnsiTheme="majorHAnsi"/>
                <w:b/>
              </w:rPr>
              <w:t xml:space="preserve"> MEDICAL</w:t>
            </w:r>
            <w:r w:rsidRPr="00CA424E">
              <w:rPr>
                <w:rFonts w:asciiTheme="majorHAnsi" w:hAnsiTheme="majorHAnsi"/>
                <w:b/>
              </w:rPr>
              <w:t xml:space="preserve"> TEAM</w:t>
            </w:r>
          </w:p>
        </w:tc>
      </w:tr>
      <w:tr w:rsidR="000B519A" w:rsidRPr="00CA424E" w:rsidTr="00F875F1"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Festival or Gathering on City Streets or in a City Park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Less than 2,500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B519A" w:rsidRPr="00CA424E" w:rsidTr="00F875F1">
        <w:tc>
          <w:tcPr>
            <w:tcW w:w="1863" w:type="dxa"/>
            <w:vMerge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2,500-10,000</w:t>
            </w:r>
          </w:p>
        </w:tc>
        <w:tc>
          <w:tcPr>
            <w:tcW w:w="1170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5-9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9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1unit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519A" w:rsidRPr="00CA424E" w:rsidTr="00F875F1">
        <w:tc>
          <w:tcPr>
            <w:tcW w:w="1863" w:type="dxa"/>
            <w:vMerge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10,001-50,000</w:t>
            </w:r>
          </w:p>
        </w:tc>
        <w:tc>
          <w:tcPr>
            <w:tcW w:w="1170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1-5 units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5-9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0B519A" w:rsidRPr="00CA424E" w:rsidTr="00F875F1"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Over 50,000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1-5 units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5-12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0B519A" w:rsidRPr="00CA424E" w:rsidTr="00F875F1"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Sporting Event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Less than 2,500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2-3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519A" w:rsidRPr="00CA424E" w:rsidTr="00F875F1">
        <w:tc>
          <w:tcPr>
            <w:tcW w:w="1863" w:type="dxa"/>
            <w:vMerge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2,500-10,000</w:t>
            </w:r>
          </w:p>
        </w:tc>
        <w:tc>
          <w:tcPr>
            <w:tcW w:w="1170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5-9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9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1unit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519A" w:rsidRPr="00CA424E" w:rsidTr="00F875F1">
        <w:trPr>
          <w:trHeight w:val="305"/>
        </w:trPr>
        <w:tc>
          <w:tcPr>
            <w:tcW w:w="1863" w:type="dxa"/>
            <w:vMerge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10,001-50,000</w:t>
            </w:r>
          </w:p>
        </w:tc>
        <w:tc>
          <w:tcPr>
            <w:tcW w:w="1170" w:type="dxa"/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1-5 units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5-9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0B519A" w:rsidRPr="00CA424E" w:rsidTr="00F875F1"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 w:rsidRPr="00CA424E">
              <w:rPr>
                <w:rFonts w:asciiTheme="majorHAnsi" w:hAnsiTheme="majorHAnsi"/>
              </w:rPr>
              <w:t>Over 50,000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1-5 units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B519A" w:rsidRPr="00AA3F9B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F9B">
              <w:rPr>
                <w:rFonts w:asciiTheme="majorHAnsi" w:hAnsiTheme="majorHAnsi"/>
                <w:sz w:val="24"/>
                <w:szCs w:val="24"/>
              </w:rPr>
              <w:t>5-12 staff</w:t>
            </w:r>
            <w:r w:rsidR="00B7575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0B519A" w:rsidRPr="00CA424E" w:rsidTr="00F875F1">
        <w:tc>
          <w:tcPr>
            <w:tcW w:w="18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Parade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B75753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determined by CSFD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determined by CSFD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19A" w:rsidRPr="00CA424E" w:rsidRDefault="000B519A" w:rsidP="00F875F1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determined by CSFD</w:t>
            </w:r>
          </w:p>
        </w:tc>
      </w:tr>
    </w:tbl>
    <w:p w:rsidR="000B519A" w:rsidRDefault="00B75753" w:rsidP="000B519A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*Actual staffing and unit numbers to be determined by CSFD following review of event application.</w:t>
      </w:r>
    </w:p>
    <w:p w:rsidR="00B75753" w:rsidRPr="00CA424E" w:rsidRDefault="00B75753" w:rsidP="000B519A">
      <w:pPr>
        <w:contextualSpacing/>
        <w:rPr>
          <w:rFonts w:asciiTheme="majorHAnsi" w:hAnsiTheme="majorHAnsi"/>
        </w:rPr>
      </w:pPr>
    </w:p>
    <w:p w:rsidR="000B519A" w:rsidRPr="00CA424E" w:rsidRDefault="000B519A" w:rsidP="000B519A">
      <w:pPr>
        <w:contextualSpacing/>
        <w:rPr>
          <w:rFonts w:asciiTheme="majorHAnsi" w:hAnsiTheme="majorHAnsi"/>
        </w:rPr>
      </w:pPr>
      <w:r w:rsidRPr="00CA424E">
        <w:rPr>
          <w:rFonts w:asciiTheme="majorHAnsi" w:hAnsiTheme="majorHAnsi"/>
        </w:rPr>
        <w:t>Definitions:</w:t>
      </w:r>
    </w:p>
    <w:p w:rsidR="000B519A" w:rsidRDefault="000B519A" w:rsidP="000B519A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63675B">
        <w:rPr>
          <w:rFonts w:asciiTheme="majorHAnsi" w:hAnsiTheme="majorHAnsi"/>
          <w:b/>
        </w:rPr>
        <w:t>First Aid Station:</w:t>
      </w:r>
      <w:r w:rsidRPr="0063675B">
        <w:rPr>
          <w:rFonts w:asciiTheme="majorHAnsi" w:hAnsiTheme="majorHAnsi"/>
        </w:rPr>
        <w:t xml:space="preserve"> A dedicated area staffed with individuals trained in bas</w:t>
      </w:r>
      <w:r>
        <w:rPr>
          <w:rFonts w:asciiTheme="majorHAnsi" w:hAnsiTheme="majorHAnsi"/>
        </w:rPr>
        <w:t>ic first aid.</w:t>
      </w:r>
    </w:p>
    <w:p w:rsidR="000B519A" w:rsidRPr="0063675B" w:rsidRDefault="000B519A" w:rsidP="000B519A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63675B">
        <w:rPr>
          <w:rFonts w:asciiTheme="majorHAnsi" w:hAnsiTheme="majorHAnsi"/>
          <w:b/>
        </w:rPr>
        <w:t>Certified Basic Life Support (BLS):</w:t>
      </w:r>
      <w:r w:rsidRPr="0063675B">
        <w:rPr>
          <w:rFonts w:asciiTheme="majorHAnsi" w:hAnsiTheme="majorHAnsi"/>
        </w:rPr>
        <w:t xml:space="preserve"> Individuals that are certified by the State of Colorado as Emergency Medical Technicians that are provided by the event organizers.</w:t>
      </w:r>
    </w:p>
    <w:p w:rsidR="000B519A" w:rsidRPr="00CA424E" w:rsidRDefault="000B519A" w:rsidP="000B519A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CA424E">
        <w:rPr>
          <w:rFonts w:asciiTheme="majorHAnsi" w:hAnsiTheme="majorHAnsi"/>
          <w:b/>
        </w:rPr>
        <w:t>Licensed Ambulance Provider:</w:t>
      </w:r>
      <w:r w:rsidRPr="00CA424E">
        <w:rPr>
          <w:rFonts w:asciiTheme="majorHAnsi" w:hAnsiTheme="majorHAnsi"/>
        </w:rPr>
        <w:t xml:space="preserve"> An ambulance provider that is licensed for emergent transport in El Paso County by El Paso County.</w:t>
      </w:r>
      <w:r w:rsidRPr="00AA3F9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*</w:t>
      </w:r>
      <w:r w:rsidR="00B75753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>Standby ambulances are valuable as an adjunct to on-site medical providers. A dedicated ambulance that is the only medical asset will leave the event without coverage if a patient must be transported.</w:t>
      </w:r>
    </w:p>
    <w:p w:rsidR="000B519A" w:rsidRPr="00AA3F9B" w:rsidRDefault="000B519A" w:rsidP="000B519A">
      <w:pPr>
        <w:numPr>
          <w:ilvl w:val="0"/>
          <w:numId w:val="3"/>
        </w:numPr>
        <w:contextualSpacing/>
        <w:rPr>
          <w:rFonts w:asciiTheme="majorHAnsi" w:hAnsiTheme="majorHAnsi"/>
          <w:i/>
        </w:rPr>
      </w:pPr>
      <w:r w:rsidRPr="00CA424E">
        <w:rPr>
          <w:rFonts w:asciiTheme="majorHAnsi" w:hAnsiTheme="majorHAnsi"/>
          <w:b/>
        </w:rPr>
        <w:t>CSFD Special Events Team:</w:t>
      </w:r>
      <w:r w:rsidRPr="00CA424E">
        <w:rPr>
          <w:rFonts w:asciiTheme="majorHAnsi" w:hAnsiTheme="majorHAnsi"/>
        </w:rPr>
        <w:t xml:space="preserve"> Colorado Springs Fire Department medical team, including but not limited to, Advanced Life Support (ALS) bike teams and paramedic staffed medical stations.</w:t>
      </w:r>
    </w:p>
    <w:p w:rsidR="000B519A" w:rsidRDefault="000B519A" w:rsidP="000B519A">
      <w:pPr>
        <w:ind w:left="720"/>
        <w:contextualSpacing/>
        <w:rPr>
          <w:rFonts w:asciiTheme="majorHAnsi" w:hAnsiTheme="majorHAnsi"/>
          <w:i/>
        </w:rPr>
      </w:pPr>
    </w:p>
    <w:p w:rsidR="000B519A" w:rsidRDefault="000B519A" w:rsidP="00A523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Medical Planning Guide</w:t>
      </w:r>
      <w:r>
        <w:rPr>
          <w:rFonts w:asciiTheme="majorHAnsi" w:hAnsiTheme="majorHAnsi"/>
        </w:rPr>
        <w:t xml:space="preserve"> – Complete and submit with your Special Event Application</w:t>
      </w:r>
      <w:r w:rsidR="00B75753">
        <w:rPr>
          <w:rFonts w:asciiTheme="majorHAnsi" w:hAnsiTheme="majorHAnsi"/>
        </w:rPr>
        <w:t>.</w:t>
      </w:r>
    </w:p>
    <w:p w:rsidR="000B519A" w:rsidRDefault="000B519A" w:rsidP="00A5239A">
      <w:pPr>
        <w:rPr>
          <w:rFonts w:asciiTheme="majorHAnsi" w:hAnsiTheme="majorHAnsi"/>
        </w:rPr>
      </w:pPr>
    </w:p>
    <w:p w:rsidR="000B519A" w:rsidRDefault="000B519A" w:rsidP="00A5239A">
      <w:pPr>
        <w:rPr>
          <w:rFonts w:asciiTheme="majorHAnsi" w:hAnsiTheme="majorHAnsi"/>
        </w:rPr>
      </w:pPr>
    </w:p>
    <w:p w:rsidR="00BB1327" w:rsidRDefault="00BB132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FA0C1E" w:rsidRDefault="000B519A" w:rsidP="00A523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MEDICAL</w:t>
      </w:r>
      <w:r w:rsidR="00A5239A" w:rsidRPr="009073D4">
        <w:rPr>
          <w:rFonts w:asciiTheme="majorHAnsi" w:hAnsiTheme="majorHAnsi"/>
          <w:b/>
          <w:sz w:val="28"/>
          <w:szCs w:val="28"/>
        </w:rPr>
        <w:t xml:space="preserve"> </w:t>
      </w:r>
      <w:r w:rsidR="009073D4">
        <w:rPr>
          <w:rFonts w:asciiTheme="majorHAnsi" w:hAnsiTheme="majorHAnsi"/>
          <w:b/>
          <w:sz w:val="28"/>
          <w:szCs w:val="28"/>
        </w:rPr>
        <w:t>PLANNING GUIDE</w:t>
      </w:r>
    </w:p>
    <w:p w:rsidR="008E2DD5" w:rsidRPr="00F14B29" w:rsidRDefault="008E2DD5" w:rsidP="00A5239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Event</w:t>
            </w:r>
          </w:p>
        </w:tc>
        <w:tc>
          <w:tcPr>
            <w:tcW w:w="6318" w:type="dxa"/>
          </w:tcPr>
          <w:p w:rsidR="00FA0C1E" w:rsidRPr="00FA0C1E" w:rsidRDefault="00C47FC6" w:rsidP="002441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94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 xml:space="preserve">Yes          </w:t>
            </w:r>
            <w:sdt>
              <w:sdtPr>
                <w:rPr>
                  <w:rFonts w:asciiTheme="majorHAnsi" w:hAnsiTheme="majorHAnsi"/>
                </w:rPr>
                <w:id w:val="-10519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>No</w:t>
            </w:r>
          </w:p>
        </w:tc>
      </w:tr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Event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Event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Event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Start Time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B75753">
        <w:tc>
          <w:tcPr>
            <w:tcW w:w="469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End Time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Expected Daily Attendance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Pre-Event Briefing </w:t>
            </w:r>
          </w:p>
          <w:p w:rsidR="00B75753" w:rsidRPr="00113CF3" w:rsidRDefault="00B75753" w:rsidP="00F875F1">
            <w:pPr>
              <w:rPr>
                <w:rFonts w:asciiTheme="majorHAnsi" w:hAnsiTheme="majorHAnsi"/>
                <w:i/>
              </w:rPr>
            </w:pPr>
            <w:r w:rsidRPr="00113CF3">
              <w:rPr>
                <w:rFonts w:asciiTheme="majorHAnsi" w:hAnsiTheme="majorHAnsi"/>
                <w:i/>
              </w:rPr>
              <w:t>Date/Time/Location</w:t>
            </w:r>
          </w:p>
        </w:tc>
        <w:tc>
          <w:tcPr>
            <w:tcW w:w="631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Event Information Booth</w:t>
            </w:r>
          </w:p>
          <w:p w:rsidR="00B75753" w:rsidRPr="0016412B" w:rsidRDefault="00B75753" w:rsidP="00F875F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Location of </w:t>
            </w:r>
            <w:r w:rsidRPr="0016412B">
              <w:rPr>
                <w:rFonts w:asciiTheme="majorHAnsi" w:hAnsiTheme="majorHAnsi"/>
                <w:i/>
              </w:rPr>
              <w:t xml:space="preserve"> event staff </w:t>
            </w:r>
            <w:r>
              <w:rPr>
                <w:rFonts w:asciiTheme="majorHAnsi" w:hAnsiTheme="majorHAnsi"/>
                <w:i/>
              </w:rPr>
              <w:t>and/</w:t>
            </w:r>
            <w:r w:rsidRPr="0016412B">
              <w:rPr>
                <w:rFonts w:asciiTheme="majorHAnsi" w:hAnsiTheme="majorHAnsi"/>
                <w:i/>
              </w:rPr>
              <w:t>or knowledgeabl</w:t>
            </w:r>
            <w:r>
              <w:rPr>
                <w:rFonts w:asciiTheme="majorHAnsi" w:hAnsiTheme="majorHAnsi"/>
                <w:i/>
              </w:rPr>
              <w:t>e volunteers</w:t>
            </w:r>
          </w:p>
        </w:tc>
        <w:tc>
          <w:tcPr>
            <w:tcW w:w="631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Medical Contact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B75753" w:rsidRDefault="00B75753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 xml:space="preserve">: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B75753" w:rsidRDefault="00B75753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Mobile Phone</w:t>
            </w:r>
            <w:r>
              <w:rPr>
                <w:rFonts w:asciiTheme="majorHAnsi" w:hAnsiTheme="majorHAnsi"/>
              </w:rPr>
              <w:t>:</w:t>
            </w:r>
            <w:r w:rsidRPr="00161803">
              <w:rPr>
                <w:rFonts w:cs="Arial"/>
                <w:color w:val="000000"/>
              </w:rPr>
              <w:t xml:space="preserve">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B75753" w:rsidRDefault="00B75753" w:rsidP="00907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E-Mail: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Provider</w:t>
            </w:r>
          </w:p>
        </w:tc>
        <w:tc>
          <w:tcPr>
            <w:tcW w:w="6318" w:type="dxa"/>
          </w:tcPr>
          <w:p w:rsidR="00B75753" w:rsidRDefault="00B75753" w:rsidP="00F875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Organization: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B75753" w:rsidRDefault="00B75753" w:rsidP="00F875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Primary Contact: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B75753" w:rsidRDefault="00B75753" w:rsidP="00F875F1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Mobile Phone</w:t>
            </w:r>
            <w:r>
              <w:rPr>
                <w:rFonts w:asciiTheme="majorHAnsi" w:hAnsiTheme="majorHAnsi"/>
              </w:rPr>
              <w:t>:</w:t>
            </w:r>
            <w:r w:rsidRPr="00161803">
              <w:rPr>
                <w:rFonts w:cs="Arial"/>
                <w:color w:val="000000"/>
              </w:rPr>
              <w:t xml:space="preserve">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B75753" w:rsidRDefault="00B75753" w:rsidP="00F875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E-Mail: </w:t>
            </w: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 radios being used for event operations?</w:t>
            </w:r>
          </w:p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medical providers have event radios?</w:t>
            </w:r>
          </w:p>
        </w:tc>
        <w:tc>
          <w:tcPr>
            <w:tcW w:w="6318" w:type="dxa"/>
          </w:tcPr>
          <w:p w:rsidR="00B75753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480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753">
              <w:rPr>
                <w:rFonts w:asciiTheme="majorHAnsi" w:hAnsiTheme="majorHAnsi"/>
              </w:rPr>
              <w:t xml:space="preserve">Yes          </w:t>
            </w:r>
            <w:sdt>
              <w:sdtPr>
                <w:rPr>
                  <w:rFonts w:asciiTheme="majorHAnsi" w:hAnsiTheme="majorHAnsi"/>
                </w:rPr>
                <w:id w:val="-11545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753">
              <w:rPr>
                <w:rFonts w:asciiTheme="majorHAnsi" w:hAnsiTheme="majorHAnsi"/>
              </w:rPr>
              <w:t>No</w:t>
            </w:r>
          </w:p>
          <w:p w:rsidR="00B75753" w:rsidRDefault="00C47FC6" w:rsidP="009073D4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1996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753">
              <w:rPr>
                <w:rFonts w:asciiTheme="majorHAnsi" w:hAnsiTheme="majorHAnsi"/>
              </w:rPr>
              <w:t xml:space="preserve">Yes          </w:t>
            </w:r>
            <w:sdt>
              <w:sdtPr>
                <w:rPr>
                  <w:rFonts w:asciiTheme="majorHAnsi" w:hAnsiTheme="majorHAnsi"/>
                </w:rPr>
                <w:id w:val="-1786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753">
              <w:rPr>
                <w:rFonts w:asciiTheme="majorHAnsi" w:hAnsiTheme="majorHAnsi"/>
              </w:rPr>
              <w:t>No</w:t>
            </w:r>
          </w:p>
        </w:tc>
      </w:tr>
      <w:tr w:rsidR="00B75753" w:rsidTr="00B75753">
        <w:tc>
          <w:tcPr>
            <w:tcW w:w="4698" w:type="dxa"/>
          </w:tcPr>
          <w:p w:rsidR="00B75753" w:rsidRPr="007C0026" w:rsidRDefault="007C0026" w:rsidP="00FA0C1E">
            <w:pPr>
              <w:rPr>
                <w:rFonts w:asciiTheme="majorHAnsi" w:hAnsiTheme="majorHAnsi"/>
                <w:b/>
              </w:rPr>
            </w:pPr>
            <w:r w:rsidRPr="007C0026">
              <w:rPr>
                <w:rFonts w:asciiTheme="majorHAnsi" w:hAnsiTheme="majorHAnsi"/>
                <w:b/>
              </w:rPr>
              <w:t>Medical Personnel &amp; Assets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BB1327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7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</w:t>
            </w:r>
            <w:r w:rsidR="00BB1327">
              <w:rPr>
                <w:rFonts w:asciiTheme="majorHAnsi" w:hAnsiTheme="majorHAnsi"/>
              </w:rPr>
              <w:t>First Aid Kit</w:t>
            </w:r>
          </w:p>
          <w:p w:rsidR="007C0026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26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27">
              <w:rPr>
                <w:rFonts w:asciiTheme="majorHAnsi" w:hAnsiTheme="majorHAnsi"/>
              </w:rPr>
              <w:t xml:space="preserve"> </w:t>
            </w:r>
            <w:r w:rsidR="007C0026">
              <w:rPr>
                <w:rFonts w:asciiTheme="majorHAnsi" w:hAnsiTheme="majorHAnsi"/>
              </w:rPr>
              <w:t>First Aid</w:t>
            </w:r>
            <w:r w:rsidR="00BB1327">
              <w:rPr>
                <w:rFonts w:asciiTheme="majorHAnsi" w:hAnsiTheme="majorHAnsi"/>
              </w:rPr>
              <w:t xml:space="preserve"> Station                </w:t>
            </w:r>
            <w:r w:rsidR="007C0026">
              <w:rPr>
                <w:rFonts w:asciiTheme="majorHAnsi" w:hAnsiTheme="majorHAnsi"/>
              </w:rPr>
              <w:t>Number of Stations:</w:t>
            </w:r>
            <w:r w:rsidR="007C0026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026" w:rsidRPr="00161803">
              <w:rPr>
                <w:rFonts w:cs="Arial"/>
                <w:color w:val="000000"/>
              </w:rPr>
              <w:instrText xml:space="preserve"> FORMTEXT </w:instrText>
            </w:r>
            <w:r w:rsidR="007C0026" w:rsidRPr="00161803">
              <w:rPr>
                <w:rFonts w:cs="Arial"/>
                <w:color w:val="000000"/>
              </w:rPr>
            </w:r>
            <w:r w:rsidR="007C0026" w:rsidRPr="00161803">
              <w:rPr>
                <w:rFonts w:cs="Arial"/>
                <w:color w:val="000000"/>
              </w:rPr>
              <w:fldChar w:fldCharType="separate"/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161803">
              <w:rPr>
                <w:rFonts w:cs="Arial"/>
                <w:color w:val="000000"/>
              </w:rPr>
              <w:fldChar w:fldCharType="end"/>
            </w:r>
          </w:p>
          <w:p w:rsidR="007C0026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975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BLS Providers                    Number of Staff:</w:t>
            </w:r>
            <w:r w:rsidR="007C0026" w:rsidRPr="00161803">
              <w:rPr>
                <w:rFonts w:cs="Arial"/>
                <w:color w:val="000000"/>
              </w:rPr>
              <w:t xml:space="preserve"> </w:t>
            </w:r>
            <w:r w:rsidR="007C0026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026" w:rsidRPr="00161803">
              <w:rPr>
                <w:rFonts w:cs="Arial"/>
                <w:color w:val="000000"/>
              </w:rPr>
              <w:instrText xml:space="preserve"> FORMTEXT </w:instrText>
            </w:r>
            <w:r w:rsidR="007C0026" w:rsidRPr="00161803">
              <w:rPr>
                <w:rFonts w:cs="Arial"/>
                <w:color w:val="000000"/>
              </w:rPr>
            </w:r>
            <w:r w:rsidR="007C0026" w:rsidRPr="00161803">
              <w:rPr>
                <w:rFonts w:cs="Arial"/>
                <w:color w:val="000000"/>
              </w:rPr>
              <w:fldChar w:fldCharType="separate"/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161803">
              <w:rPr>
                <w:rFonts w:cs="Arial"/>
                <w:color w:val="000000"/>
              </w:rPr>
              <w:fldChar w:fldCharType="end"/>
            </w:r>
          </w:p>
          <w:p w:rsidR="007C0026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960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Ambulances                        Number of Units:</w:t>
            </w:r>
            <w:r w:rsidR="007C0026" w:rsidRPr="00161803">
              <w:rPr>
                <w:rFonts w:cs="Arial"/>
                <w:color w:val="000000"/>
              </w:rPr>
              <w:t xml:space="preserve"> </w:t>
            </w:r>
            <w:r w:rsidR="007C0026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026" w:rsidRPr="00161803">
              <w:rPr>
                <w:rFonts w:cs="Arial"/>
                <w:color w:val="000000"/>
              </w:rPr>
              <w:instrText xml:space="preserve"> FORMTEXT </w:instrText>
            </w:r>
            <w:r w:rsidR="007C0026" w:rsidRPr="00161803">
              <w:rPr>
                <w:rFonts w:cs="Arial"/>
                <w:color w:val="000000"/>
              </w:rPr>
            </w:r>
            <w:r w:rsidR="007C0026" w:rsidRPr="00161803">
              <w:rPr>
                <w:rFonts w:cs="Arial"/>
                <w:color w:val="000000"/>
              </w:rPr>
              <w:fldChar w:fldCharType="separate"/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161803">
              <w:rPr>
                <w:rFonts w:cs="Arial"/>
                <w:color w:val="000000"/>
              </w:rPr>
              <w:fldChar w:fldCharType="end"/>
            </w:r>
          </w:p>
          <w:p w:rsidR="007C0026" w:rsidRPr="007C0026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0064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CSFD Medical Team        </w:t>
            </w:r>
            <w:r w:rsidR="00BB1327">
              <w:rPr>
                <w:rFonts w:asciiTheme="majorHAnsi" w:hAnsiTheme="majorHAnsi"/>
              </w:rPr>
              <w:t xml:space="preserve"> </w:t>
            </w:r>
            <w:r w:rsidR="007C0026">
              <w:rPr>
                <w:rFonts w:asciiTheme="majorHAnsi" w:hAnsiTheme="majorHAnsi"/>
              </w:rPr>
              <w:t>Number of Staff:</w:t>
            </w:r>
            <w:r w:rsidR="007C0026" w:rsidRPr="00161803">
              <w:rPr>
                <w:rFonts w:cs="Arial"/>
                <w:color w:val="000000"/>
              </w:rPr>
              <w:t xml:space="preserve"> </w:t>
            </w:r>
            <w:r w:rsidR="007C0026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026" w:rsidRPr="00161803">
              <w:rPr>
                <w:rFonts w:cs="Arial"/>
                <w:color w:val="000000"/>
              </w:rPr>
              <w:instrText xml:space="preserve"> FORMTEXT </w:instrText>
            </w:r>
            <w:r w:rsidR="007C0026" w:rsidRPr="00161803">
              <w:rPr>
                <w:rFonts w:cs="Arial"/>
                <w:color w:val="000000"/>
              </w:rPr>
            </w:r>
            <w:r w:rsidR="007C0026" w:rsidRPr="00161803">
              <w:rPr>
                <w:rFonts w:cs="Arial"/>
                <w:color w:val="000000"/>
              </w:rPr>
              <w:fldChar w:fldCharType="separate"/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First Aid Tent/CSFD Medical Tent</w:t>
            </w:r>
          </w:p>
        </w:tc>
        <w:tc>
          <w:tcPr>
            <w:tcW w:w="6318" w:type="dxa"/>
          </w:tcPr>
          <w:p w:rsidR="00B75753" w:rsidRDefault="00B75753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Ambulance(s)</w:t>
            </w:r>
          </w:p>
          <w:p w:rsidR="00B75753" w:rsidRDefault="00B75753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18" w:type="dxa"/>
          </w:tcPr>
          <w:p w:rsidR="00B75753" w:rsidRPr="00161803" w:rsidRDefault="00B75753" w:rsidP="009073D4">
            <w:pPr>
              <w:rPr>
                <w:rFonts w:cs="Arial"/>
                <w:color w:val="000000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B75753" w:rsidTr="00B75753">
        <w:tc>
          <w:tcPr>
            <w:tcW w:w="4698" w:type="dxa"/>
          </w:tcPr>
          <w:p w:rsidR="00B75753" w:rsidRDefault="007C0026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Potential/Anticipated Issues</w:t>
            </w:r>
            <w:r w:rsidR="00BB1327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6318" w:type="dxa"/>
          </w:tcPr>
          <w:p w:rsidR="007C0026" w:rsidRDefault="00C47FC6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522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None</w:t>
            </w:r>
          </w:p>
          <w:p w:rsidR="001D0EBD" w:rsidRDefault="00C47FC6" w:rsidP="007C002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425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Participants/spectators with potential medical issues</w:t>
            </w:r>
          </w:p>
          <w:p w:rsidR="007C0026" w:rsidRDefault="00C47FC6" w:rsidP="007C002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805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Large crowds</w:t>
            </w:r>
          </w:p>
          <w:p w:rsidR="007C0026" w:rsidRDefault="00C47FC6" w:rsidP="007C002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805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Controversial gathering/known threats</w:t>
            </w:r>
          </w:p>
          <w:p w:rsidR="007C0026" w:rsidRDefault="00C47FC6" w:rsidP="007C002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304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Alcohol use</w:t>
            </w:r>
          </w:p>
          <w:p w:rsidR="007C0026" w:rsidRDefault="00C47FC6" w:rsidP="007C002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314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Heat/cold</w:t>
            </w:r>
          </w:p>
          <w:p w:rsidR="00B75753" w:rsidRDefault="00C47FC6" w:rsidP="009073D4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15285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026">
              <w:rPr>
                <w:rFonts w:asciiTheme="majorHAnsi" w:hAnsiTheme="majorHAnsi"/>
              </w:rPr>
              <w:t xml:space="preserve"> Other: </w:t>
            </w:r>
            <w:r w:rsidR="007C0026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026" w:rsidRPr="00161803">
              <w:rPr>
                <w:rFonts w:cs="Arial"/>
                <w:color w:val="000000"/>
              </w:rPr>
              <w:instrText xml:space="preserve"> FORMTEXT </w:instrText>
            </w:r>
            <w:r w:rsidR="007C0026" w:rsidRPr="00161803">
              <w:rPr>
                <w:rFonts w:cs="Arial"/>
                <w:color w:val="000000"/>
              </w:rPr>
            </w:r>
            <w:r w:rsidR="007C0026" w:rsidRPr="00161803">
              <w:rPr>
                <w:rFonts w:cs="Arial"/>
                <w:color w:val="000000"/>
              </w:rPr>
              <w:fldChar w:fldCharType="separate"/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8E30A5">
              <w:rPr>
                <w:noProof/>
              </w:rPr>
              <w:t> </w:t>
            </w:r>
            <w:r w:rsidR="007C0026" w:rsidRPr="00161803">
              <w:rPr>
                <w:rFonts w:cs="Arial"/>
                <w:color w:val="000000"/>
              </w:rPr>
              <w:fldChar w:fldCharType="end"/>
            </w:r>
            <w:r w:rsidR="007C0026">
              <w:rPr>
                <w:rFonts w:asciiTheme="majorHAnsi" w:hAnsiTheme="majorHAnsi"/>
              </w:rPr>
              <w:t xml:space="preserve">                                       </w:t>
            </w:r>
          </w:p>
        </w:tc>
      </w:tr>
    </w:tbl>
    <w:p w:rsidR="00F14B29" w:rsidRPr="00BB1327" w:rsidRDefault="00BB1327" w:rsidP="009073D4">
      <w:pPr>
        <w:rPr>
          <w:rFonts w:asciiTheme="majorHAnsi" w:hAnsiTheme="majorHAnsi"/>
          <w:b/>
        </w:rPr>
      </w:pPr>
      <w:r w:rsidRPr="00BB1327">
        <w:rPr>
          <w:rFonts w:asciiTheme="majorHAnsi" w:hAnsiTheme="majorHAnsi"/>
          <w:b/>
        </w:rPr>
        <w:t>*RESPONSE REQUIRED</w:t>
      </w:r>
    </w:p>
    <w:p w:rsidR="00BB1327" w:rsidRDefault="00BB1327" w:rsidP="009073D4">
      <w:pPr>
        <w:rPr>
          <w:rFonts w:asciiTheme="majorHAnsi" w:hAnsiTheme="majorHAnsi"/>
        </w:rPr>
      </w:pPr>
    </w:p>
    <w:p w:rsidR="00F14B29" w:rsidRDefault="00F14B29" w:rsidP="009073D4">
      <w:pPr>
        <w:rPr>
          <w:rFonts w:asciiTheme="majorHAnsi" w:hAnsiTheme="majorHAnsi"/>
        </w:rPr>
      </w:pPr>
      <w:r w:rsidRPr="00F14B29">
        <w:rPr>
          <w:rFonts w:asciiTheme="majorHAnsi" w:hAnsiTheme="majorHAnsi"/>
          <w:b/>
        </w:rPr>
        <w:t>Additional Information</w:t>
      </w:r>
      <w:r>
        <w:rPr>
          <w:rFonts w:asciiTheme="majorHAnsi" w:hAnsiTheme="majorHAnsi"/>
        </w:rPr>
        <w:t xml:space="preserve"> - Attach additional pages, maps and/or supporting documents as necessary.</w:t>
      </w:r>
    </w:p>
    <w:sectPr w:rsidR="00F14B29" w:rsidSect="00A5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4FD1"/>
    <w:multiLevelType w:val="hybridMultilevel"/>
    <w:tmpl w:val="9DE6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B30DE"/>
    <w:multiLevelType w:val="hybridMultilevel"/>
    <w:tmpl w:val="E0D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962DD"/>
    <w:multiLevelType w:val="hybridMultilevel"/>
    <w:tmpl w:val="066A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euTtOcPM3tWV7g3wd+XTkSPz98=" w:salt="OtG1KlZ2y8wUfECPGtlS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9A"/>
    <w:rsid w:val="000B519A"/>
    <w:rsid w:val="00113CF3"/>
    <w:rsid w:val="0016412B"/>
    <w:rsid w:val="001D0EBD"/>
    <w:rsid w:val="002441C2"/>
    <w:rsid w:val="005E5870"/>
    <w:rsid w:val="00642F5A"/>
    <w:rsid w:val="006E4C70"/>
    <w:rsid w:val="00771FA8"/>
    <w:rsid w:val="00797975"/>
    <w:rsid w:val="007C0026"/>
    <w:rsid w:val="007F39FD"/>
    <w:rsid w:val="008263B1"/>
    <w:rsid w:val="008E2DD5"/>
    <w:rsid w:val="009073D4"/>
    <w:rsid w:val="009C0456"/>
    <w:rsid w:val="00A5239A"/>
    <w:rsid w:val="00A57670"/>
    <w:rsid w:val="00B75753"/>
    <w:rsid w:val="00BB1327"/>
    <w:rsid w:val="00C47FC6"/>
    <w:rsid w:val="00E34C14"/>
    <w:rsid w:val="00EF3F0F"/>
    <w:rsid w:val="00F14B29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Kobasiar, Carly</dc:creator>
  <cp:lastModifiedBy>Kobasiar, Carly</cp:lastModifiedBy>
  <cp:revision>10</cp:revision>
  <cp:lastPrinted>2019-11-21T20:40:00Z</cp:lastPrinted>
  <dcterms:created xsi:type="dcterms:W3CDTF">2019-02-04T23:17:00Z</dcterms:created>
  <dcterms:modified xsi:type="dcterms:W3CDTF">2019-12-12T22:33:00Z</dcterms:modified>
</cp:coreProperties>
</file>