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05" w:rsidRPr="000203CF" w:rsidRDefault="002D6005" w:rsidP="002D6005">
      <w:pPr>
        <w:jc w:val="center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2020 City Council District </w:t>
      </w:r>
      <w:r>
        <w:rPr>
          <w:rFonts w:ascii="Arial" w:hAnsi="Arial" w:cs="Arial"/>
          <w:b/>
          <w:sz w:val="24"/>
          <w:szCs w:val="24"/>
        </w:rPr>
        <w:t xml:space="preserve">(CD) </w:t>
      </w:r>
      <w:r w:rsidRPr="000203CF">
        <w:rPr>
          <w:rFonts w:ascii="Arial" w:hAnsi="Arial" w:cs="Arial"/>
          <w:b/>
          <w:sz w:val="24"/>
          <w:szCs w:val="24"/>
        </w:rPr>
        <w:t>Redistricting Options for Discussion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D6005" w:rsidRDefault="002D6005" w:rsidP="002D6005">
      <w:pPr>
        <w:rPr>
          <w:rFonts w:ascii="Arial" w:hAnsi="Arial" w:cs="Arial"/>
          <w:b/>
          <w:sz w:val="24"/>
          <w:szCs w:val="24"/>
        </w:rPr>
      </w:pPr>
    </w:p>
    <w:p w:rsidR="002A52BB" w:rsidRPr="000203CF" w:rsidRDefault="00523506" w:rsidP="002A52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 A</w:t>
      </w:r>
      <w:r w:rsidR="002D6005" w:rsidRPr="000203CF">
        <w:rPr>
          <w:rFonts w:ascii="Arial" w:hAnsi="Arial" w:cs="Arial"/>
          <w:b/>
          <w:sz w:val="24"/>
          <w:szCs w:val="24"/>
        </w:rPr>
        <w:t>:</w:t>
      </w:r>
      <w:r w:rsidR="002A52BB" w:rsidRPr="002A52B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1790"/>
        <w:gridCol w:w="2070"/>
        <w:gridCol w:w="1440"/>
      </w:tblGrid>
      <w:tr w:rsidR="002A52BB" w:rsidRPr="000203CF" w:rsidTr="000649CB">
        <w:trPr>
          <w:trHeight w:val="249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510" w:type="dxa"/>
            <w:gridSpan w:val="2"/>
            <w:vAlign w:val="center"/>
          </w:tcPr>
          <w:p w:rsidR="002A52BB" w:rsidRPr="000203CF" w:rsidRDefault="002A52BB" w:rsidP="00D80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 xml:space="preserve">DEVIATION FROM </w:t>
            </w:r>
            <w:r w:rsidR="00D801E4">
              <w:rPr>
                <w:rFonts w:ascii="Arial" w:hAnsi="Arial" w:cs="Arial"/>
                <w:b/>
                <w:sz w:val="24"/>
                <w:szCs w:val="24"/>
              </w:rPr>
              <w:t>IDEAL</w:t>
            </w:r>
          </w:p>
        </w:tc>
      </w:tr>
      <w:tr w:rsidR="002A52BB" w:rsidRPr="000203CF" w:rsidTr="000649CB">
        <w:trPr>
          <w:trHeight w:val="235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78,198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-2104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-2.62</w:t>
            </w:r>
            <w:r w:rsidR="000649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52BB" w:rsidRPr="000203CF" w:rsidTr="000649CB">
        <w:trPr>
          <w:trHeight w:val="249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77,699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-2603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-3.24</w:t>
            </w:r>
            <w:r w:rsidR="000649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52BB" w:rsidRPr="000203CF" w:rsidTr="000649CB">
        <w:trPr>
          <w:trHeight w:val="235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80,788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0.60</w:t>
            </w:r>
            <w:r w:rsidR="000649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52BB" w:rsidRPr="000203CF" w:rsidTr="000649CB">
        <w:trPr>
          <w:trHeight w:val="249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82,199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1897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2.36</w:t>
            </w:r>
            <w:r w:rsidR="000649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52BB" w:rsidRPr="000203CF" w:rsidTr="000649CB">
        <w:trPr>
          <w:trHeight w:val="235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83,029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2727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3.40</w:t>
            </w:r>
            <w:r w:rsidR="000649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52BB" w:rsidRPr="000203CF" w:rsidTr="000649CB">
        <w:trPr>
          <w:trHeight w:val="249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79,901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-401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3CF">
              <w:rPr>
                <w:rFonts w:ascii="Arial" w:hAnsi="Arial" w:cs="Arial"/>
                <w:sz w:val="24"/>
                <w:szCs w:val="24"/>
              </w:rPr>
              <w:t>-0.50</w:t>
            </w:r>
            <w:r w:rsidR="000649C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52BB" w:rsidRPr="000203CF" w:rsidTr="000649CB">
        <w:trPr>
          <w:trHeight w:val="249"/>
          <w:jc w:val="center"/>
        </w:trPr>
        <w:tc>
          <w:tcPr>
            <w:tcW w:w="7487" w:type="dxa"/>
            <w:gridSpan w:val="4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2BB" w:rsidRPr="000203CF" w:rsidTr="000649CB">
        <w:trPr>
          <w:trHeight w:val="350"/>
          <w:jc w:val="center"/>
        </w:trPr>
        <w:tc>
          <w:tcPr>
            <w:tcW w:w="2187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City Total Population</w:t>
            </w:r>
          </w:p>
        </w:tc>
        <w:tc>
          <w:tcPr>
            <w:tcW w:w="179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481,814</w:t>
            </w:r>
          </w:p>
        </w:tc>
        <w:tc>
          <w:tcPr>
            <w:tcW w:w="2070" w:type="dxa"/>
            <w:vAlign w:val="center"/>
          </w:tcPr>
          <w:p w:rsidR="002A52BB" w:rsidRPr="000203CF" w:rsidRDefault="00D801E4" w:rsidP="00D80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Overall </w:t>
            </w:r>
            <w:r w:rsidR="000649CB">
              <w:rPr>
                <w:rFonts w:ascii="Arial" w:hAnsi="Arial" w:cs="Arial"/>
                <w:b/>
                <w:sz w:val="24"/>
                <w:szCs w:val="24"/>
              </w:rPr>
              <w:t>Deviation Range</w:t>
            </w:r>
          </w:p>
        </w:tc>
        <w:tc>
          <w:tcPr>
            <w:tcW w:w="1440" w:type="dxa"/>
            <w:vAlign w:val="center"/>
          </w:tcPr>
          <w:p w:rsidR="002A52BB" w:rsidRPr="000203CF" w:rsidRDefault="002A52B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6.64</w:t>
            </w:r>
            <w:r w:rsidR="000649C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0649CB" w:rsidRPr="000203CF" w:rsidTr="000649CB">
        <w:trPr>
          <w:trHeight w:val="350"/>
          <w:jc w:val="center"/>
        </w:trPr>
        <w:tc>
          <w:tcPr>
            <w:tcW w:w="2187" w:type="dxa"/>
            <w:vAlign w:val="center"/>
          </w:tcPr>
          <w:p w:rsidR="000649CB" w:rsidRPr="000203CF" w:rsidRDefault="000649C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Ideal District </w:t>
            </w:r>
            <w:r w:rsidRPr="000203CF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1790" w:type="dxa"/>
            <w:vAlign w:val="center"/>
          </w:tcPr>
          <w:p w:rsidR="000649CB" w:rsidRPr="000203CF" w:rsidRDefault="000649C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3CF">
              <w:rPr>
                <w:rFonts w:ascii="Arial" w:hAnsi="Arial" w:cs="Arial"/>
                <w:b/>
                <w:sz w:val="24"/>
                <w:szCs w:val="24"/>
              </w:rPr>
              <w:t>80,302</w:t>
            </w:r>
          </w:p>
        </w:tc>
        <w:tc>
          <w:tcPr>
            <w:tcW w:w="2070" w:type="dxa"/>
            <w:vAlign w:val="center"/>
          </w:tcPr>
          <w:p w:rsidR="000649CB" w:rsidRDefault="000649CB" w:rsidP="00D80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 Deviation of all Districts</w:t>
            </w:r>
          </w:p>
        </w:tc>
        <w:tc>
          <w:tcPr>
            <w:tcW w:w="1440" w:type="dxa"/>
            <w:vAlign w:val="center"/>
          </w:tcPr>
          <w:p w:rsidR="000649CB" w:rsidRPr="000203CF" w:rsidRDefault="000649CB" w:rsidP="00AF67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2.12%</w:t>
            </w:r>
          </w:p>
        </w:tc>
      </w:tr>
    </w:tbl>
    <w:p w:rsidR="002A52BB" w:rsidRPr="000203CF" w:rsidRDefault="002A52BB" w:rsidP="002A52BB">
      <w:pPr>
        <w:rPr>
          <w:rFonts w:ascii="Arial" w:hAnsi="Arial" w:cs="Arial"/>
          <w:b/>
          <w:sz w:val="24"/>
          <w:szCs w:val="24"/>
        </w:rPr>
      </w:pPr>
    </w:p>
    <w:p w:rsidR="002A52BB" w:rsidRPr="000203CF" w:rsidRDefault="002A52BB" w:rsidP="002A52BB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CD1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2BB" w:rsidRPr="00327A56" w:rsidRDefault="002A52BB" w:rsidP="002A52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precincts 242 </w:t>
      </w:r>
      <w:bookmarkStart w:id="0" w:name="_GoBack"/>
      <w:bookmarkEnd w:id="0"/>
      <w:r w:rsidRPr="00327A56">
        <w:rPr>
          <w:rFonts w:ascii="Arial" w:hAnsi="Arial" w:cs="Arial"/>
          <w:sz w:val="24"/>
          <w:szCs w:val="24"/>
        </w:rPr>
        <w:t>and 14</w:t>
      </w:r>
      <w:r w:rsidR="00697991">
        <w:rPr>
          <w:rFonts w:ascii="Arial" w:hAnsi="Arial" w:cs="Arial"/>
          <w:sz w:val="24"/>
          <w:szCs w:val="24"/>
        </w:rPr>
        <w:t>1</w:t>
      </w:r>
      <w:r w:rsidRPr="00327A56">
        <w:rPr>
          <w:rFonts w:ascii="Arial" w:hAnsi="Arial" w:cs="Arial"/>
          <w:sz w:val="24"/>
          <w:szCs w:val="24"/>
        </w:rPr>
        <w:t xml:space="preserve"> into CD 1 reduces the population on CD 2. </w:t>
      </w:r>
    </w:p>
    <w:p w:rsidR="002A52BB" w:rsidRPr="00327A56" w:rsidRDefault="002A52BB" w:rsidP="002A52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Unites Pulpit Rock neighborhood and the Vistas Grande neighborhood in CD1.  </w:t>
      </w:r>
    </w:p>
    <w:p w:rsidR="002A52BB" w:rsidRPr="00327A56" w:rsidRDefault="002A52BB" w:rsidP="002A52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Most of the Falcon Estates HOA and Cottonwood Creek neighborhood are united in CD1.  </w:t>
      </w:r>
    </w:p>
    <w:p w:rsidR="002A52BB" w:rsidRPr="00327A56" w:rsidRDefault="002A52BB" w:rsidP="002A52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242</w:t>
      </w:r>
      <w:r>
        <w:rPr>
          <w:rFonts w:ascii="Arial" w:hAnsi="Arial" w:cs="Arial"/>
          <w:sz w:val="24"/>
          <w:szCs w:val="24"/>
        </w:rPr>
        <w:t xml:space="preserve"> </w:t>
      </w:r>
      <w:r w:rsidRPr="00327A56">
        <w:rPr>
          <w:rFonts w:ascii="Arial" w:hAnsi="Arial" w:cs="Arial"/>
          <w:sz w:val="24"/>
          <w:szCs w:val="24"/>
        </w:rPr>
        <w:t>and 24</w:t>
      </w:r>
      <w:r w:rsidR="005E4908">
        <w:rPr>
          <w:rFonts w:ascii="Arial" w:hAnsi="Arial" w:cs="Arial"/>
          <w:sz w:val="24"/>
          <w:szCs w:val="24"/>
        </w:rPr>
        <w:t>4</w:t>
      </w:r>
      <w:r w:rsidRPr="00327A56">
        <w:rPr>
          <w:rFonts w:ascii="Arial" w:hAnsi="Arial" w:cs="Arial"/>
          <w:sz w:val="24"/>
          <w:szCs w:val="24"/>
        </w:rPr>
        <w:t xml:space="preserve"> moves more of School District 20 into CD1. </w:t>
      </w:r>
    </w:p>
    <w:p w:rsidR="002A52BB" w:rsidRPr="00327A56" w:rsidRDefault="002A52BB" w:rsidP="002A52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 14</w:t>
      </w:r>
      <w:r w:rsidR="00697991">
        <w:rPr>
          <w:rFonts w:ascii="Arial" w:hAnsi="Arial" w:cs="Arial"/>
          <w:sz w:val="24"/>
          <w:szCs w:val="24"/>
        </w:rPr>
        <w:t>1</w:t>
      </w:r>
      <w:r w:rsidRPr="00327A56">
        <w:rPr>
          <w:rFonts w:ascii="Arial" w:hAnsi="Arial" w:cs="Arial"/>
          <w:sz w:val="24"/>
          <w:szCs w:val="24"/>
        </w:rPr>
        <w:t xml:space="preserve"> moves more of School District 11 into CD1. 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A52BB" w:rsidRPr="00327A56" w:rsidRDefault="002A52BB" w:rsidP="002A52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lastRenderedPageBreak/>
        <w:t xml:space="preserve">A small percentage of Falcon Estates HOA remains in CD2. </w:t>
      </w:r>
    </w:p>
    <w:p w:rsidR="002A52BB" w:rsidRPr="00327A56" w:rsidRDefault="002A52BB" w:rsidP="002A52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A small percentage of Columbine Estates HOA remains in in CD2.</w:t>
      </w:r>
    </w:p>
    <w:p w:rsidR="002A52BB" w:rsidRPr="00327A56" w:rsidRDefault="002A52BB" w:rsidP="002A52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Cottonwood Creek neighborhood remains in CD2. </w:t>
      </w:r>
    </w:p>
    <w:p w:rsidR="002A52BB" w:rsidRPr="000203CF" w:rsidRDefault="002A52BB" w:rsidP="002A52BB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CD2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2BB" w:rsidRPr="00327A56" w:rsidRDefault="002A52BB" w:rsidP="002A52B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precincts 242 and 14</w:t>
      </w:r>
      <w:r w:rsidR="00697991">
        <w:rPr>
          <w:rFonts w:ascii="Arial" w:hAnsi="Arial" w:cs="Arial"/>
          <w:sz w:val="24"/>
          <w:szCs w:val="24"/>
        </w:rPr>
        <w:t>1</w:t>
      </w:r>
      <w:r w:rsidRPr="00327A56">
        <w:rPr>
          <w:rFonts w:ascii="Arial" w:hAnsi="Arial" w:cs="Arial"/>
          <w:sz w:val="24"/>
          <w:szCs w:val="24"/>
        </w:rPr>
        <w:t xml:space="preserve"> reduces the population of CD 2. This allows for expected future population growth in this district due to all the new construction and developments expanding in this area.</w:t>
      </w:r>
    </w:p>
    <w:p w:rsidR="002A52BB" w:rsidRDefault="002A52BB" w:rsidP="002A52BB">
      <w:pPr>
        <w:ind w:left="720"/>
        <w:rPr>
          <w:rFonts w:ascii="Arial" w:hAnsi="Arial" w:cs="Arial"/>
          <w:b/>
          <w:i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 xml:space="preserve">Cons: </w:t>
      </w:r>
    </w:p>
    <w:p w:rsidR="002A52BB" w:rsidRPr="00327A56" w:rsidRDefault="002A52BB" w:rsidP="002A52BB">
      <w:pPr>
        <w:ind w:left="1440" w:hanging="360"/>
        <w:rPr>
          <w:rFonts w:ascii="Arial" w:hAnsi="Arial" w:cs="Arial"/>
          <w:sz w:val="24"/>
          <w:szCs w:val="24"/>
        </w:rPr>
      </w:pPr>
      <w:r w:rsidRPr="00E43BB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Pr="00327A56">
        <w:rPr>
          <w:rFonts w:ascii="Arial" w:hAnsi="Arial" w:cs="Arial"/>
          <w:sz w:val="24"/>
          <w:szCs w:val="24"/>
        </w:rPr>
        <w:t xml:space="preserve">A small percentage of Falcon Estates HOA remains in CD2. </w:t>
      </w:r>
    </w:p>
    <w:p w:rsidR="002A52BB" w:rsidRPr="00327A56" w:rsidRDefault="002A52BB" w:rsidP="002A52B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A small percentage of Columbine Estates HOA remains in in CD2. </w:t>
      </w:r>
    </w:p>
    <w:p w:rsidR="002A52BB" w:rsidRPr="00327A56" w:rsidRDefault="002A52BB" w:rsidP="002A52B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A small percentage of Cottonwood Creek neighborhood remains in CD2.</w:t>
      </w:r>
    </w:p>
    <w:p w:rsidR="002A52BB" w:rsidRPr="000203CF" w:rsidRDefault="002A52BB" w:rsidP="002A52BB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CD3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A52BB" w:rsidRPr="00327A56" w:rsidRDefault="002A52BB" w:rsidP="002A52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Moving precinct 601 into this district increases the population in CD3. </w:t>
      </w:r>
    </w:p>
    <w:p w:rsidR="002A52BB" w:rsidRPr="00327A56" w:rsidRDefault="002A52BB" w:rsidP="002A52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The Friends of Quail Lake HOA, is united in CD3. </w:t>
      </w:r>
    </w:p>
    <w:p w:rsidR="002A52BB" w:rsidRPr="00327A56" w:rsidRDefault="002A52BB" w:rsidP="002A52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No other HOA’s or additional neighborhoods are divided in this change.</w:t>
      </w:r>
    </w:p>
    <w:p w:rsidR="002A52BB" w:rsidRPr="000203CF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lastRenderedPageBreak/>
        <w:t>Cons:</w:t>
      </w:r>
      <w:r w:rsidRPr="000203CF">
        <w:rPr>
          <w:rFonts w:ascii="Arial" w:hAnsi="Arial" w:cs="Arial"/>
          <w:sz w:val="24"/>
          <w:szCs w:val="24"/>
        </w:rPr>
        <w:t xml:space="preserve">  There are no cons to this small change in CD3. </w:t>
      </w:r>
    </w:p>
    <w:p w:rsidR="002A52BB" w:rsidRPr="000203CF" w:rsidRDefault="002A52BB" w:rsidP="002A52BB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CD4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2BB" w:rsidRPr="00327A56" w:rsidRDefault="002A52BB" w:rsidP="002A52BB">
      <w:pPr>
        <w:pStyle w:val="ListParagraph"/>
        <w:numPr>
          <w:ilvl w:val="0"/>
          <w:numId w:val="16"/>
        </w:numPr>
        <w:ind w:firstLine="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</w:t>
      </w:r>
      <w:r>
        <w:rPr>
          <w:rFonts w:ascii="Arial" w:hAnsi="Arial" w:cs="Arial"/>
          <w:sz w:val="24"/>
          <w:szCs w:val="24"/>
        </w:rPr>
        <w:t>s</w:t>
      </w:r>
      <w:r w:rsidRPr="00327A56">
        <w:rPr>
          <w:rFonts w:ascii="Arial" w:hAnsi="Arial" w:cs="Arial"/>
          <w:sz w:val="24"/>
          <w:szCs w:val="24"/>
        </w:rPr>
        <w:t xml:space="preserve"> 180, 901 &amp; 192 increases the population in D4.</w:t>
      </w:r>
    </w:p>
    <w:p w:rsidR="002A52BB" w:rsidRPr="00337DB8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337DB8">
        <w:rPr>
          <w:rFonts w:ascii="Arial" w:hAnsi="Arial" w:cs="Arial"/>
          <w:b/>
          <w:i/>
          <w:sz w:val="24"/>
          <w:szCs w:val="24"/>
        </w:rPr>
        <w:t>Cons:</w:t>
      </w:r>
      <w:r w:rsidRPr="00337DB8">
        <w:rPr>
          <w:rFonts w:ascii="Arial" w:hAnsi="Arial" w:cs="Arial"/>
          <w:sz w:val="24"/>
          <w:szCs w:val="24"/>
        </w:rPr>
        <w:t xml:space="preserve"> </w:t>
      </w:r>
    </w:p>
    <w:p w:rsidR="002A52BB" w:rsidRPr="000203CF" w:rsidRDefault="002A52BB" w:rsidP="002A52BB">
      <w:pPr>
        <w:pStyle w:val="ListParagraph"/>
        <w:numPr>
          <w:ilvl w:val="0"/>
          <w:numId w:val="21"/>
        </w:numPr>
        <w:ind w:left="1440"/>
      </w:pPr>
      <w:r w:rsidRPr="00327A56">
        <w:rPr>
          <w:rFonts w:ascii="Arial" w:hAnsi="Arial" w:cs="Arial"/>
          <w:sz w:val="24"/>
          <w:szCs w:val="24"/>
        </w:rPr>
        <w:t>A small percentage of Henry Park HOA remains in CD5. A small percentage of the Platte Avenue Business HOA remains in in CD5.  A small percentage of Knob Hill HOA remains in CD5.</w:t>
      </w:r>
    </w:p>
    <w:p w:rsidR="002A52BB" w:rsidRPr="000203CF" w:rsidRDefault="002A52BB" w:rsidP="002A52BB">
      <w:pPr>
        <w:ind w:firstLine="270"/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>CD5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2BB" w:rsidRDefault="002A52BB" w:rsidP="002A52BB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Moving precinct</w:t>
      </w:r>
      <w:r>
        <w:rPr>
          <w:rFonts w:ascii="Arial" w:hAnsi="Arial" w:cs="Arial"/>
          <w:sz w:val="24"/>
          <w:szCs w:val="24"/>
        </w:rPr>
        <w:t>s</w:t>
      </w:r>
      <w:r w:rsidRPr="00327A56">
        <w:rPr>
          <w:rFonts w:ascii="Arial" w:hAnsi="Arial" w:cs="Arial"/>
          <w:sz w:val="24"/>
          <w:szCs w:val="24"/>
        </w:rPr>
        <w:t xml:space="preserve"> 123, 99, 127 &amp; 126 from D1 into D5 balances the population between these CD5 and CD6. </w:t>
      </w:r>
    </w:p>
    <w:p w:rsidR="002A52BB" w:rsidRDefault="002A52BB" w:rsidP="002A52BB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Majority of </w:t>
      </w:r>
      <w:proofErr w:type="spellStart"/>
      <w:r w:rsidRPr="00327A56">
        <w:rPr>
          <w:rFonts w:ascii="Arial" w:hAnsi="Arial" w:cs="Arial"/>
          <w:sz w:val="24"/>
          <w:szCs w:val="24"/>
        </w:rPr>
        <w:t>Cragmoor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neighborhood and HOA are united in CD5. </w:t>
      </w:r>
    </w:p>
    <w:p w:rsidR="002A52BB" w:rsidRDefault="002A52BB" w:rsidP="002A52BB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More of the Village Seven neighborhood is united into CD5. </w:t>
      </w:r>
    </w:p>
    <w:p w:rsidR="002A52BB" w:rsidRDefault="002A52BB" w:rsidP="002A52BB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cti</w:t>
      </w:r>
      <w:r w:rsidRPr="00327A56">
        <w:rPr>
          <w:rFonts w:ascii="Arial" w:hAnsi="Arial" w:cs="Arial"/>
          <w:sz w:val="24"/>
          <w:szCs w:val="24"/>
        </w:rPr>
        <w:t xml:space="preserve">ons of Paseo HOA </w:t>
      </w:r>
      <w:r>
        <w:rPr>
          <w:rFonts w:ascii="Arial" w:hAnsi="Arial" w:cs="Arial"/>
          <w:sz w:val="24"/>
          <w:szCs w:val="24"/>
        </w:rPr>
        <w:t>are</w:t>
      </w:r>
      <w:r w:rsidRPr="00327A56">
        <w:rPr>
          <w:rFonts w:ascii="Arial" w:hAnsi="Arial" w:cs="Arial"/>
          <w:sz w:val="24"/>
          <w:szCs w:val="24"/>
        </w:rPr>
        <w:t xml:space="preserve"> united in CD5. </w:t>
      </w:r>
    </w:p>
    <w:p w:rsidR="002A52BB" w:rsidRPr="00327A56" w:rsidRDefault="002A52BB" w:rsidP="002A52BB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Kitty Haw</w:t>
      </w:r>
      <w:r>
        <w:rPr>
          <w:rFonts w:ascii="Arial" w:hAnsi="Arial" w:cs="Arial"/>
          <w:sz w:val="24"/>
          <w:szCs w:val="24"/>
        </w:rPr>
        <w:t>k</w:t>
      </w:r>
      <w:r w:rsidRPr="00327A56">
        <w:rPr>
          <w:rFonts w:ascii="Arial" w:hAnsi="Arial" w:cs="Arial"/>
          <w:sz w:val="24"/>
          <w:szCs w:val="24"/>
        </w:rPr>
        <w:t>/</w:t>
      </w:r>
      <w:proofErr w:type="spellStart"/>
      <w:r w:rsidRPr="00327A56">
        <w:rPr>
          <w:rFonts w:ascii="Arial" w:hAnsi="Arial" w:cs="Arial"/>
          <w:sz w:val="24"/>
          <w:szCs w:val="24"/>
        </w:rPr>
        <w:t>Bonnyville</w:t>
      </w:r>
      <w:proofErr w:type="spellEnd"/>
      <w:r w:rsidRPr="00327A56">
        <w:rPr>
          <w:rFonts w:ascii="Arial" w:hAnsi="Arial" w:cs="Arial"/>
          <w:sz w:val="24"/>
          <w:szCs w:val="24"/>
        </w:rPr>
        <w:t xml:space="preserve"> HOA are united in CD5. </w:t>
      </w:r>
    </w:p>
    <w:p w:rsidR="002A52BB" w:rsidRDefault="002A52BB" w:rsidP="002A52BB">
      <w:pPr>
        <w:ind w:firstLine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A52BB" w:rsidRPr="00327A56" w:rsidRDefault="002A52BB" w:rsidP="002A52BB">
      <w:pPr>
        <w:pStyle w:val="ListParagraph"/>
        <w:numPr>
          <w:ilvl w:val="0"/>
          <w:numId w:val="18"/>
        </w:numPr>
        <w:ind w:firstLine="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 xml:space="preserve">D5 becomes one of the larger population districts. </w:t>
      </w:r>
    </w:p>
    <w:p w:rsidR="002A52BB" w:rsidRPr="000203CF" w:rsidRDefault="002A52BB" w:rsidP="002A52BB">
      <w:pPr>
        <w:rPr>
          <w:rFonts w:ascii="Arial" w:hAnsi="Arial" w:cs="Arial"/>
          <w:b/>
          <w:sz w:val="24"/>
          <w:szCs w:val="24"/>
        </w:rPr>
      </w:pPr>
      <w:r w:rsidRPr="000203CF">
        <w:rPr>
          <w:rFonts w:ascii="Arial" w:hAnsi="Arial" w:cs="Arial"/>
          <w:b/>
          <w:sz w:val="24"/>
          <w:szCs w:val="24"/>
        </w:rPr>
        <w:t xml:space="preserve">CD6 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Pros: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A52BB" w:rsidRPr="00327A56" w:rsidRDefault="00697991" w:rsidP="002A52BB">
      <w:pPr>
        <w:pStyle w:val="ListParagraph"/>
        <w:numPr>
          <w:ilvl w:val="0"/>
          <w:numId w:val="19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Moving precincts 141</w:t>
      </w:r>
      <w:r w:rsidR="002A52BB" w:rsidRPr="00327A56">
        <w:rPr>
          <w:rFonts w:ascii="Arial" w:hAnsi="Arial" w:cs="Arial"/>
          <w:sz w:val="24"/>
          <w:szCs w:val="24"/>
        </w:rPr>
        <w:t xml:space="preserve"> and 166 into other council districts reduces the population of CD 2.</w:t>
      </w:r>
      <w:r w:rsidR="002A52BB">
        <w:rPr>
          <w:rFonts w:ascii="Arial" w:hAnsi="Arial" w:cs="Arial"/>
          <w:sz w:val="24"/>
          <w:szCs w:val="24"/>
        </w:rPr>
        <w:t xml:space="preserve"> </w:t>
      </w:r>
      <w:r w:rsidR="002A52BB" w:rsidRPr="00327A56">
        <w:rPr>
          <w:rFonts w:ascii="Arial" w:hAnsi="Arial" w:cs="Arial"/>
          <w:sz w:val="24"/>
          <w:szCs w:val="24"/>
        </w:rPr>
        <w:t>This allows for expected future population growth in this district due to all the new construction and developments expanding in this area.</w:t>
      </w:r>
    </w:p>
    <w:p w:rsidR="002A52BB" w:rsidRDefault="002A52BB" w:rsidP="002A52BB">
      <w:pPr>
        <w:ind w:left="720"/>
        <w:rPr>
          <w:rFonts w:ascii="Arial" w:hAnsi="Arial" w:cs="Arial"/>
          <w:sz w:val="24"/>
          <w:szCs w:val="24"/>
        </w:rPr>
      </w:pPr>
      <w:r w:rsidRPr="000203CF">
        <w:rPr>
          <w:rFonts w:ascii="Arial" w:hAnsi="Arial" w:cs="Arial"/>
          <w:b/>
          <w:i/>
          <w:sz w:val="24"/>
          <w:szCs w:val="24"/>
        </w:rPr>
        <w:t>Cons:</w:t>
      </w:r>
      <w:r w:rsidRPr="000203CF">
        <w:rPr>
          <w:rFonts w:ascii="Arial" w:hAnsi="Arial" w:cs="Arial"/>
          <w:sz w:val="24"/>
          <w:szCs w:val="24"/>
        </w:rPr>
        <w:t xml:space="preserve"> </w:t>
      </w:r>
    </w:p>
    <w:p w:rsidR="002A52BB" w:rsidRDefault="002A52BB" w:rsidP="002A52BB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327A56">
        <w:rPr>
          <w:rFonts w:ascii="Arial" w:hAnsi="Arial" w:cs="Arial"/>
          <w:sz w:val="24"/>
          <w:szCs w:val="24"/>
        </w:rPr>
        <w:t>A small percentage of Village Seven n</w:t>
      </w:r>
      <w:r>
        <w:rPr>
          <w:rFonts w:ascii="Arial" w:hAnsi="Arial" w:cs="Arial"/>
          <w:sz w:val="24"/>
          <w:szCs w:val="24"/>
        </w:rPr>
        <w:t>eighborhood is united into CD6.</w:t>
      </w:r>
    </w:p>
    <w:p w:rsidR="00EE78AC" w:rsidRPr="002A52BB" w:rsidRDefault="002A52BB" w:rsidP="002A52BB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</w:rPr>
      </w:pPr>
      <w:r w:rsidRPr="002A52BB">
        <w:rPr>
          <w:rFonts w:ascii="Arial" w:hAnsi="Arial" w:cs="Arial"/>
          <w:sz w:val="24"/>
          <w:szCs w:val="24"/>
        </w:rPr>
        <w:t>A small percentage of Vista Grande neighborhood remains in CD2.</w:t>
      </w:r>
    </w:p>
    <w:sectPr w:rsidR="00EE78AC" w:rsidRPr="002A52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D" w:rsidRDefault="005E043D" w:rsidP="005E043D">
      <w:pPr>
        <w:spacing w:after="0" w:line="240" w:lineRule="auto"/>
      </w:pPr>
      <w:r>
        <w:separator/>
      </w:r>
    </w:p>
  </w:endnote>
  <w:endnote w:type="continuationSeparator" w:id="0">
    <w:p w:rsidR="005E043D" w:rsidRDefault="005E043D" w:rsidP="005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3D" w:rsidRPr="005E043D" w:rsidRDefault="005E043D" w:rsidP="005E043D">
    <w:pPr>
      <w:pStyle w:val="Header"/>
      <w:jc w:val="center"/>
      <w:rPr>
        <w:rFonts w:ascii="Arial" w:hAnsi="Arial" w:cs="Arial"/>
        <w:b/>
      </w:rPr>
    </w:pPr>
    <w:r w:rsidRPr="00327A56">
      <w:rPr>
        <w:rFonts w:ascii="Arial" w:hAnsi="Arial" w:cs="Arial"/>
        <w:b/>
      </w:rPr>
      <w:t xml:space="preserve">2020 District Process Advisory Committee and Colorado Springs City Clerk </w:t>
    </w:r>
    <w:r w:rsidRPr="00327A56">
      <w:rPr>
        <w:rFonts w:ascii="Arial" w:hAnsi="Arial" w:cs="Arial"/>
        <w:b/>
      </w:rPr>
      <w:tab/>
    </w:r>
    <w:r w:rsidR="002A52BB">
      <w:rPr>
        <w:rFonts w:ascii="Arial" w:hAnsi="Arial" w:cs="Arial"/>
        <w:b/>
      </w:rPr>
      <w:t>August</w:t>
    </w:r>
    <w:r w:rsidRPr="00327A56">
      <w:rPr>
        <w:rFonts w:ascii="Arial" w:hAnsi="Arial" w:cs="Arial"/>
        <w:b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D" w:rsidRDefault="005E043D" w:rsidP="005E043D">
      <w:pPr>
        <w:spacing w:after="0" w:line="240" w:lineRule="auto"/>
      </w:pPr>
      <w:r>
        <w:separator/>
      </w:r>
    </w:p>
  </w:footnote>
  <w:footnote w:type="continuationSeparator" w:id="0">
    <w:p w:rsidR="005E043D" w:rsidRDefault="005E043D" w:rsidP="005E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9FB"/>
    <w:multiLevelType w:val="hybridMultilevel"/>
    <w:tmpl w:val="DD080D70"/>
    <w:lvl w:ilvl="0" w:tplc="06624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56CB9"/>
    <w:multiLevelType w:val="hybridMultilevel"/>
    <w:tmpl w:val="3C784C3C"/>
    <w:lvl w:ilvl="0" w:tplc="F078A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70E5D"/>
    <w:multiLevelType w:val="hybridMultilevel"/>
    <w:tmpl w:val="A57AD4FC"/>
    <w:lvl w:ilvl="0" w:tplc="8C6C8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317AD"/>
    <w:multiLevelType w:val="hybridMultilevel"/>
    <w:tmpl w:val="9604C702"/>
    <w:lvl w:ilvl="0" w:tplc="87FAE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56B40"/>
    <w:multiLevelType w:val="hybridMultilevel"/>
    <w:tmpl w:val="C6F2AE1C"/>
    <w:lvl w:ilvl="0" w:tplc="8666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87117"/>
    <w:multiLevelType w:val="hybridMultilevel"/>
    <w:tmpl w:val="7FF69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C7B0A"/>
    <w:multiLevelType w:val="hybridMultilevel"/>
    <w:tmpl w:val="389872CE"/>
    <w:lvl w:ilvl="0" w:tplc="1FF8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A1F9A"/>
    <w:multiLevelType w:val="hybridMultilevel"/>
    <w:tmpl w:val="14765184"/>
    <w:lvl w:ilvl="0" w:tplc="DA405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4310D"/>
    <w:multiLevelType w:val="hybridMultilevel"/>
    <w:tmpl w:val="830A8754"/>
    <w:lvl w:ilvl="0" w:tplc="4ACCCB58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2E7D4025"/>
    <w:multiLevelType w:val="hybridMultilevel"/>
    <w:tmpl w:val="4E209DD4"/>
    <w:lvl w:ilvl="0" w:tplc="249E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F1EE2"/>
    <w:multiLevelType w:val="hybridMultilevel"/>
    <w:tmpl w:val="6668418C"/>
    <w:lvl w:ilvl="0" w:tplc="29EE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05E56"/>
    <w:multiLevelType w:val="hybridMultilevel"/>
    <w:tmpl w:val="5B229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15480"/>
    <w:multiLevelType w:val="hybridMultilevel"/>
    <w:tmpl w:val="3BB62224"/>
    <w:lvl w:ilvl="0" w:tplc="F2A8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B5B07"/>
    <w:multiLevelType w:val="hybridMultilevel"/>
    <w:tmpl w:val="B0D68598"/>
    <w:lvl w:ilvl="0" w:tplc="E0C2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2620C"/>
    <w:multiLevelType w:val="hybridMultilevel"/>
    <w:tmpl w:val="2EB4F46C"/>
    <w:lvl w:ilvl="0" w:tplc="B0D0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7774CE"/>
    <w:multiLevelType w:val="hybridMultilevel"/>
    <w:tmpl w:val="AAF4C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413F15"/>
    <w:multiLevelType w:val="hybridMultilevel"/>
    <w:tmpl w:val="B70844FC"/>
    <w:lvl w:ilvl="0" w:tplc="D0F61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935B7"/>
    <w:multiLevelType w:val="hybridMultilevel"/>
    <w:tmpl w:val="3EF487BE"/>
    <w:lvl w:ilvl="0" w:tplc="E6423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A91A1C"/>
    <w:multiLevelType w:val="hybridMultilevel"/>
    <w:tmpl w:val="BE042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50BDE"/>
    <w:multiLevelType w:val="hybridMultilevel"/>
    <w:tmpl w:val="A04AABFE"/>
    <w:lvl w:ilvl="0" w:tplc="54129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762BED"/>
    <w:multiLevelType w:val="hybridMultilevel"/>
    <w:tmpl w:val="AFD64AF6"/>
    <w:lvl w:ilvl="0" w:tplc="205CC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5"/>
  </w:num>
  <w:num w:numId="13">
    <w:abstractNumId w:val="5"/>
  </w:num>
  <w:num w:numId="14">
    <w:abstractNumId w:val="11"/>
  </w:num>
  <w:num w:numId="15">
    <w:abstractNumId w:val="18"/>
  </w:num>
  <w:num w:numId="16">
    <w:abstractNumId w:val="2"/>
  </w:num>
  <w:num w:numId="17">
    <w:abstractNumId w:val="20"/>
  </w:num>
  <w:num w:numId="18">
    <w:abstractNumId w:val="7"/>
  </w:num>
  <w:num w:numId="19">
    <w:abstractNumId w:val="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5"/>
    <w:rsid w:val="000649CB"/>
    <w:rsid w:val="001507D5"/>
    <w:rsid w:val="002A52BB"/>
    <w:rsid w:val="002D6005"/>
    <w:rsid w:val="00523506"/>
    <w:rsid w:val="005E043D"/>
    <w:rsid w:val="005E4908"/>
    <w:rsid w:val="00697991"/>
    <w:rsid w:val="00C261C2"/>
    <w:rsid w:val="00C4431D"/>
    <w:rsid w:val="00CA2922"/>
    <w:rsid w:val="00D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E0B3-F737-48E1-855B-B5B86A1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3D"/>
  </w:style>
  <w:style w:type="paragraph" w:styleId="Footer">
    <w:name w:val="footer"/>
    <w:basedOn w:val="Normal"/>
    <w:link w:val="FooterChar"/>
    <w:uiPriority w:val="99"/>
    <w:unhideWhenUsed/>
    <w:rsid w:val="005E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Carlene</dc:creator>
  <cp:keywords/>
  <dc:description/>
  <cp:lastModifiedBy>Johnson, Sarah B.</cp:lastModifiedBy>
  <cp:revision>2</cp:revision>
  <dcterms:created xsi:type="dcterms:W3CDTF">2020-08-10T19:12:00Z</dcterms:created>
  <dcterms:modified xsi:type="dcterms:W3CDTF">2020-08-10T19:12:00Z</dcterms:modified>
</cp:coreProperties>
</file>